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jc w:val="center"/>
        <w:outlineLvl w:val="3"/>
      </w:pPr>
      <w:r>
        <w:rPr>
          <w:rFonts w:ascii="Times New Roman" w:hAnsi="Times New Roman" w:eastAsia="方正仿宋_GBK" w:cs="Times New Roman"/>
          <w:b/>
          <w:bCs/>
          <w:caps/>
          <w:color w:val="000000"/>
          <w:kern w:val="0"/>
          <w:sz w:val="28"/>
          <w:szCs w:val="24"/>
          <w:lang w:eastAsia="uk-UA"/>
        </w:rPr>
        <w:br w:type="page"/>
      </w:r>
      <w:r>
        <w:rPr>
          <w:rFonts w:ascii="方正小标宋_GBK" w:hAnsi="方正小标宋_GBK" w:eastAsia="方正小标宋_GBK" w:cs="方正小标宋_GBK"/>
          <w:color w:val="000000"/>
          <w:sz w:val="44"/>
        </w:rPr>
        <w:t>八十六、霸州市胜芳镇南楼小学收支预算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501599霸州市胜芳镇南楼小学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87.05</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87.05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87.05</w:t>
            </w:r>
          </w:p>
        </w:tc>
        <w:tc>
          <w:tcPr>
            <w:tcW w:w="4535" w:type="dxa"/>
            <w:vAlign w:val="center"/>
          </w:tcPr>
          <w:p>
            <w:pPr>
              <w:pStyle w:val="16"/>
            </w:pPr>
            <w:r>
              <w:t>本年支出合计</w:t>
            </w:r>
          </w:p>
        </w:tc>
        <w:tc>
          <w:tcPr>
            <w:tcW w:w="2126" w:type="dxa"/>
            <w:vAlign w:val="center"/>
          </w:tcPr>
          <w:p>
            <w:pPr>
              <w:pStyle w:val="17"/>
            </w:pPr>
            <w:r>
              <w:t>87.05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87.05</w:t>
            </w:r>
          </w:p>
        </w:tc>
        <w:tc>
          <w:tcPr>
            <w:tcW w:w="4535" w:type="dxa"/>
            <w:vAlign w:val="center"/>
          </w:tcPr>
          <w:p>
            <w:pPr>
              <w:pStyle w:val="16"/>
            </w:pPr>
            <w:r>
              <w:t>支出总计</w:t>
            </w:r>
          </w:p>
        </w:tc>
        <w:tc>
          <w:tcPr>
            <w:tcW w:w="2126" w:type="dxa"/>
            <w:vAlign w:val="center"/>
          </w:tcPr>
          <w:p>
            <w:pPr>
              <w:pStyle w:val="17"/>
            </w:pPr>
            <w:r>
              <w:t>87.05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501599霸州市胜芳镇南楼小学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87.05</w:t>
            </w:r>
          </w:p>
        </w:tc>
        <w:tc>
          <w:tcPr>
            <w:tcW w:w="1134" w:type="dxa"/>
            <w:vAlign w:val="center"/>
          </w:tcPr>
          <w:p>
            <w:pPr>
              <w:pStyle w:val="17"/>
            </w:pPr>
            <w:r>
              <w:t>87.05</w:t>
            </w:r>
          </w:p>
        </w:tc>
        <w:tc>
          <w:tcPr>
            <w:tcW w:w="1134" w:type="dxa"/>
            <w:vAlign w:val="center"/>
          </w:tcPr>
          <w:p>
            <w:pPr>
              <w:pStyle w:val="17"/>
            </w:pPr>
            <w:r>
              <w:t>87.05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87.05</w:t>
            </w:r>
          </w:p>
        </w:tc>
        <w:tc>
          <w:tcPr>
            <w:tcW w:w="1134" w:type="dxa"/>
            <w:vAlign w:val="center"/>
          </w:tcPr>
          <w:p>
            <w:pPr>
              <w:pStyle w:val="15"/>
            </w:pPr>
            <w:r>
              <w:t>87.05</w:t>
            </w:r>
          </w:p>
        </w:tc>
        <w:tc>
          <w:tcPr>
            <w:tcW w:w="1134" w:type="dxa"/>
            <w:vAlign w:val="center"/>
          </w:tcPr>
          <w:p>
            <w:pPr>
              <w:pStyle w:val="15"/>
            </w:pPr>
            <w:r>
              <w:t>87.05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87.05</w:t>
            </w:r>
          </w:p>
        </w:tc>
        <w:tc>
          <w:tcPr>
            <w:tcW w:w="1134" w:type="dxa"/>
            <w:vAlign w:val="center"/>
          </w:tcPr>
          <w:p>
            <w:pPr>
              <w:pStyle w:val="15"/>
            </w:pPr>
            <w:r>
              <w:t>87.05</w:t>
            </w:r>
          </w:p>
        </w:tc>
        <w:tc>
          <w:tcPr>
            <w:tcW w:w="1134" w:type="dxa"/>
            <w:vAlign w:val="center"/>
          </w:tcPr>
          <w:p>
            <w:pPr>
              <w:pStyle w:val="15"/>
            </w:pPr>
            <w:r>
              <w:t>87.05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87.05</w:t>
            </w:r>
          </w:p>
        </w:tc>
        <w:tc>
          <w:tcPr>
            <w:tcW w:w="1134" w:type="dxa"/>
            <w:vAlign w:val="center"/>
          </w:tcPr>
          <w:p>
            <w:pPr>
              <w:pStyle w:val="15"/>
            </w:pPr>
            <w:r>
              <w:t>87.05</w:t>
            </w:r>
          </w:p>
        </w:tc>
        <w:tc>
          <w:tcPr>
            <w:tcW w:w="1134" w:type="dxa"/>
            <w:vAlign w:val="center"/>
          </w:tcPr>
          <w:p>
            <w:pPr>
              <w:pStyle w:val="15"/>
            </w:pPr>
            <w:r>
              <w:t>87.05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501599霸州市胜芳镇南楼小学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87.05</w:t>
            </w:r>
          </w:p>
        </w:tc>
        <w:tc>
          <w:tcPr>
            <w:tcW w:w="1361" w:type="dxa"/>
            <w:vAlign w:val="center"/>
          </w:tcPr>
          <w:p>
            <w:pPr>
              <w:pStyle w:val="17"/>
            </w:pPr>
            <w:r>
              <w:t>79.70</w:t>
            </w:r>
          </w:p>
        </w:tc>
        <w:tc>
          <w:tcPr>
            <w:tcW w:w="1361" w:type="dxa"/>
            <w:vAlign w:val="center"/>
          </w:tcPr>
          <w:p>
            <w:pPr>
              <w:pStyle w:val="17"/>
            </w:pPr>
            <w:r>
              <w:t>7.35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87.05</w:t>
            </w:r>
          </w:p>
        </w:tc>
        <w:tc>
          <w:tcPr>
            <w:tcW w:w="1361" w:type="dxa"/>
            <w:vAlign w:val="center"/>
          </w:tcPr>
          <w:p>
            <w:pPr>
              <w:pStyle w:val="15"/>
            </w:pPr>
            <w:r>
              <w:t>79.70</w:t>
            </w:r>
          </w:p>
        </w:tc>
        <w:tc>
          <w:tcPr>
            <w:tcW w:w="1361" w:type="dxa"/>
            <w:vAlign w:val="center"/>
          </w:tcPr>
          <w:p>
            <w:pPr>
              <w:pStyle w:val="15"/>
            </w:pPr>
            <w:r>
              <w:t>7.35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87.05</w:t>
            </w:r>
          </w:p>
        </w:tc>
        <w:tc>
          <w:tcPr>
            <w:tcW w:w="1361" w:type="dxa"/>
            <w:vAlign w:val="center"/>
          </w:tcPr>
          <w:p>
            <w:pPr>
              <w:pStyle w:val="15"/>
            </w:pPr>
            <w:r>
              <w:t>79.70</w:t>
            </w:r>
          </w:p>
        </w:tc>
        <w:tc>
          <w:tcPr>
            <w:tcW w:w="1361" w:type="dxa"/>
            <w:vAlign w:val="center"/>
          </w:tcPr>
          <w:p>
            <w:pPr>
              <w:pStyle w:val="15"/>
            </w:pPr>
            <w:r>
              <w:t>7.35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87.05</w:t>
            </w:r>
          </w:p>
        </w:tc>
        <w:tc>
          <w:tcPr>
            <w:tcW w:w="1361" w:type="dxa"/>
            <w:vAlign w:val="center"/>
          </w:tcPr>
          <w:p>
            <w:pPr>
              <w:pStyle w:val="15"/>
            </w:pPr>
            <w:r>
              <w:t>79.70</w:t>
            </w:r>
          </w:p>
        </w:tc>
        <w:tc>
          <w:tcPr>
            <w:tcW w:w="1361" w:type="dxa"/>
            <w:vAlign w:val="center"/>
          </w:tcPr>
          <w:p>
            <w:pPr>
              <w:pStyle w:val="15"/>
            </w:pPr>
            <w:r>
              <w:t>7.35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501599霸州市胜芳镇南楼小学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87.05</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87.05</w:t>
            </w:r>
          </w:p>
        </w:tc>
        <w:tc>
          <w:tcPr>
            <w:tcW w:w="1474" w:type="dxa"/>
            <w:vAlign w:val="center"/>
          </w:tcPr>
          <w:p>
            <w:pPr>
              <w:pStyle w:val="15"/>
            </w:pPr>
            <w:r>
              <w:t>87.05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87.05</w:t>
            </w:r>
          </w:p>
        </w:tc>
        <w:tc>
          <w:tcPr>
            <w:tcW w:w="3402" w:type="dxa"/>
            <w:vAlign w:val="center"/>
          </w:tcPr>
          <w:p>
            <w:pPr>
              <w:pStyle w:val="16"/>
            </w:pPr>
            <w:r>
              <w:t>本年支出合计</w:t>
            </w:r>
          </w:p>
        </w:tc>
        <w:tc>
          <w:tcPr>
            <w:tcW w:w="1474" w:type="dxa"/>
            <w:vAlign w:val="center"/>
          </w:tcPr>
          <w:p>
            <w:pPr>
              <w:pStyle w:val="17"/>
            </w:pPr>
            <w:r>
              <w:t>87.05</w:t>
            </w:r>
          </w:p>
        </w:tc>
        <w:tc>
          <w:tcPr>
            <w:tcW w:w="1474" w:type="dxa"/>
            <w:vAlign w:val="center"/>
          </w:tcPr>
          <w:p>
            <w:pPr>
              <w:pStyle w:val="17"/>
            </w:pPr>
            <w:r>
              <w:t>87.05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87.05</w:t>
            </w:r>
          </w:p>
        </w:tc>
        <w:tc>
          <w:tcPr>
            <w:tcW w:w="3402" w:type="dxa"/>
            <w:vAlign w:val="center"/>
          </w:tcPr>
          <w:p>
            <w:pPr>
              <w:pStyle w:val="16"/>
            </w:pPr>
            <w:r>
              <w:t>支出总计</w:t>
            </w:r>
          </w:p>
        </w:tc>
        <w:tc>
          <w:tcPr>
            <w:tcW w:w="1474" w:type="dxa"/>
            <w:vAlign w:val="center"/>
          </w:tcPr>
          <w:p>
            <w:pPr>
              <w:pStyle w:val="17"/>
            </w:pPr>
            <w:r>
              <w:t>87.05</w:t>
            </w:r>
          </w:p>
        </w:tc>
        <w:tc>
          <w:tcPr>
            <w:tcW w:w="1474" w:type="dxa"/>
            <w:vAlign w:val="center"/>
          </w:tcPr>
          <w:p>
            <w:pPr>
              <w:pStyle w:val="17"/>
            </w:pPr>
            <w:r>
              <w:t>87.05</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87.05</w:t>
            </w:r>
          </w:p>
        </w:tc>
        <w:tc>
          <w:tcPr>
            <w:tcW w:w="2551" w:type="dxa"/>
            <w:vAlign w:val="center"/>
          </w:tcPr>
          <w:p>
            <w:pPr>
              <w:pStyle w:val="17"/>
            </w:pPr>
            <w:r>
              <w:t>79.70</w:t>
            </w:r>
          </w:p>
        </w:tc>
        <w:tc>
          <w:tcPr>
            <w:tcW w:w="2551" w:type="dxa"/>
            <w:vAlign w:val="center"/>
          </w:tcPr>
          <w:p>
            <w:pPr>
              <w:pStyle w:val="17"/>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87.05</w:t>
            </w:r>
          </w:p>
        </w:tc>
        <w:tc>
          <w:tcPr>
            <w:tcW w:w="2551" w:type="dxa"/>
            <w:vAlign w:val="center"/>
          </w:tcPr>
          <w:p>
            <w:pPr>
              <w:pStyle w:val="15"/>
            </w:pPr>
            <w:r>
              <w:t>79.70</w:t>
            </w:r>
          </w:p>
        </w:tc>
        <w:tc>
          <w:tcPr>
            <w:tcW w:w="2551" w:type="dxa"/>
            <w:vAlign w:val="center"/>
          </w:tcPr>
          <w:p>
            <w:pPr>
              <w:pStyle w:val="15"/>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87.05</w:t>
            </w:r>
          </w:p>
        </w:tc>
        <w:tc>
          <w:tcPr>
            <w:tcW w:w="2551" w:type="dxa"/>
            <w:vAlign w:val="center"/>
          </w:tcPr>
          <w:p>
            <w:pPr>
              <w:pStyle w:val="15"/>
            </w:pPr>
            <w:r>
              <w:t>79.70</w:t>
            </w:r>
          </w:p>
        </w:tc>
        <w:tc>
          <w:tcPr>
            <w:tcW w:w="2551" w:type="dxa"/>
            <w:vAlign w:val="center"/>
          </w:tcPr>
          <w:p>
            <w:pPr>
              <w:pStyle w:val="15"/>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87.05</w:t>
            </w:r>
          </w:p>
        </w:tc>
        <w:tc>
          <w:tcPr>
            <w:tcW w:w="2551" w:type="dxa"/>
            <w:vAlign w:val="center"/>
          </w:tcPr>
          <w:p>
            <w:pPr>
              <w:pStyle w:val="15"/>
            </w:pPr>
            <w:r>
              <w:t>79.70</w:t>
            </w:r>
          </w:p>
        </w:tc>
        <w:tc>
          <w:tcPr>
            <w:tcW w:w="2551" w:type="dxa"/>
            <w:vAlign w:val="center"/>
          </w:tcPr>
          <w:p>
            <w:pPr>
              <w:pStyle w:val="15"/>
            </w:pPr>
            <w:r>
              <w:t>7.35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支出单位经济分类科目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79.70</w:t>
            </w:r>
          </w:p>
        </w:tc>
        <w:tc>
          <w:tcPr>
            <w:tcW w:w="2551" w:type="dxa"/>
            <w:vAlign w:val="center"/>
          </w:tcPr>
          <w:p>
            <w:pPr>
              <w:pStyle w:val="17"/>
            </w:pPr>
            <w:r>
              <w:t>78.54</w:t>
            </w:r>
          </w:p>
        </w:tc>
        <w:tc>
          <w:tcPr>
            <w:tcW w:w="2551" w:type="dxa"/>
            <w:vAlign w:val="center"/>
          </w:tcPr>
          <w:p>
            <w:pPr>
              <w:pStyle w:val="17"/>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67.89</w:t>
            </w:r>
          </w:p>
        </w:tc>
        <w:tc>
          <w:tcPr>
            <w:tcW w:w="2551" w:type="dxa"/>
            <w:vAlign w:val="center"/>
          </w:tcPr>
          <w:p>
            <w:pPr>
              <w:pStyle w:val="15"/>
            </w:pPr>
            <w:r>
              <w:t>67.89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13.68</w:t>
            </w:r>
          </w:p>
        </w:tc>
        <w:tc>
          <w:tcPr>
            <w:tcW w:w="2551" w:type="dxa"/>
            <w:vAlign w:val="center"/>
          </w:tcPr>
          <w:p>
            <w:pPr>
              <w:pStyle w:val="15"/>
            </w:pPr>
            <w:r>
              <w:t>13.68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3.62</w:t>
            </w:r>
          </w:p>
        </w:tc>
        <w:tc>
          <w:tcPr>
            <w:tcW w:w="2551" w:type="dxa"/>
            <w:vAlign w:val="center"/>
          </w:tcPr>
          <w:p>
            <w:pPr>
              <w:pStyle w:val="15"/>
            </w:pPr>
            <w:r>
              <w:t>3.62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17.34</w:t>
            </w:r>
          </w:p>
        </w:tc>
        <w:tc>
          <w:tcPr>
            <w:tcW w:w="2551" w:type="dxa"/>
            <w:vAlign w:val="center"/>
          </w:tcPr>
          <w:p>
            <w:pPr>
              <w:pStyle w:val="15"/>
            </w:pPr>
            <w:r>
              <w:t>17.34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3.71</w:t>
            </w:r>
          </w:p>
        </w:tc>
        <w:tc>
          <w:tcPr>
            <w:tcW w:w="2551" w:type="dxa"/>
            <w:vAlign w:val="center"/>
          </w:tcPr>
          <w:p>
            <w:pPr>
              <w:pStyle w:val="15"/>
            </w:pPr>
            <w:r>
              <w:t>3.71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1.40</w:t>
            </w:r>
          </w:p>
        </w:tc>
        <w:tc>
          <w:tcPr>
            <w:tcW w:w="2551" w:type="dxa"/>
            <w:vAlign w:val="center"/>
          </w:tcPr>
          <w:p>
            <w:pPr>
              <w:pStyle w:val="15"/>
            </w:pPr>
            <w:r>
              <w:t>1.40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2.78</w:t>
            </w:r>
          </w:p>
        </w:tc>
        <w:tc>
          <w:tcPr>
            <w:tcW w:w="2551" w:type="dxa"/>
            <w:vAlign w:val="center"/>
          </w:tcPr>
          <w:p>
            <w:pPr>
              <w:pStyle w:val="15"/>
            </w:pPr>
            <w:r>
              <w:t>2.78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25.02</w:t>
            </w:r>
          </w:p>
        </w:tc>
        <w:tc>
          <w:tcPr>
            <w:tcW w:w="2551" w:type="dxa"/>
            <w:vAlign w:val="center"/>
          </w:tcPr>
          <w:p>
            <w:pPr>
              <w:pStyle w:val="15"/>
            </w:pPr>
            <w:r>
              <w:t>25.02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1.16</w:t>
            </w:r>
          </w:p>
        </w:tc>
        <w:tc>
          <w:tcPr>
            <w:tcW w:w="2551" w:type="dxa"/>
            <w:vAlign w:val="center"/>
          </w:tcPr>
          <w:p>
            <w:pPr>
              <w:pStyle w:val="15"/>
            </w:pPr>
          </w:p>
        </w:tc>
        <w:tc>
          <w:tcPr>
            <w:tcW w:w="2551" w:type="dxa"/>
            <w:vAlign w:val="center"/>
          </w:tcPr>
          <w:p>
            <w:pPr>
              <w:pStyle w:val="15"/>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0.70</w:t>
            </w:r>
          </w:p>
        </w:tc>
        <w:tc>
          <w:tcPr>
            <w:tcW w:w="2551" w:type="dxa"/>
            <w:vAlign w:val="center"/>
          </w:tcPr>
          <w:p>
            <w:pPr>
              <w:pStyle w:val="15"/>
            </w:pPr>
          </w:p>
        </w:tc>
        <w:tc>
          <w:tcPr>
            <w:tcW w:w="2551"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0.46</w:t>
            </w:r>
          </w:p>
        </w:tc>
        <w:tc>
          <w:tcPr>
            <w:tcW w:w="2551" w:type="dxa"/>
            <w:vAlign w:val="center"/>
          </w:tcPr>
          <w:p>
            <w:pPr>
              <w:pStyle w:val="15"/>
            </w:pPr>
          </w:p>
        </w:tc>
        <w:tc>
          <w:tcPr>
            <w:tcW w:w="2551" w:type="dxa"/>
            <w:vAlign w:val="center"/>
          </w:tcPr>
          <w:p>
            <w:pPr>
              <w:pStyle w:val="15"/>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10.65</w:t>
            </w:r>
          </w:p>
        </w:tc>
        <w:tc>
          <w:tcPr>
            <w:tcW w:w="2551" w:type="dxa"/>
            <w:vAlign w:val="center"/>
          </w:tcPr>
          <w:p>
            <w:pPr>
              <w:pStyle w:val="15"/>
            </w:pPr>
            <w:r>
              <w:t>10.65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7.57</w:t>
            </w:r>
          </w:p>
        </w:tc>
        <w:tc>
          <w:tcPr>
            <w:tcW w:w="2551" w:type="dxa"/>
            <w:vAlign w:val="center"/>
          </w:tcPr>
          <w:p>
            <w:pPr>
              <w:pStyle w:val="15"/>
            </w:pPr>
            <w:r>
              <w:t>7.57</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3.08</w:t>
            </w:r>
          </w:p>
        </w:tc>
        <w:tc>
          <w:tcPr>
            <w:tcW w:w="2551" w:type="dxa"/>
            <w:vAlign w:val="center"/>
          </w:tcPr>
          <w:p>
            <w:pPr>
              <w:pStyle w:val="15"/>
            </w:pPr>
            <w:r>
              <w:t>3.08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501599霸州市胜芳镇南楼小学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霸州市胜芳镇南楼小学2022年单位预算信息公开情况说明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按照《预算法》、《地方预决算公开操作规程》和《关于进一步推进预算公开工作的实施意见》规定，现将霸州市胜芳镇南楼小学2022年单位预算公开如下：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spacing w:line="584" w:lineRule="exact"/>
        <w:ind w:firstLine="643" w:firstLineChars="200"/>
      </w:pPr>
      <w:r>
        <w:rPr>
          <w:rFonts w:ascii="方正楷体_GBK" w:hAnsi="方正楷体_GBK" w:eastAsia="方正楷体_GBK" w:cs="方正楷体_GBK"/>
          <w:b/>
          <w:color w:val="000000"/>
          <w:sz w:val="32"/>
        </w:rPr>
        <w:t>单位职责：</w:t>
      </w: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霸州市胜芳镇南楼小学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ind w:firstLine="640"/>
        <w:rPr>
          <w:rFonts w:eastAsia="方正仿宋_GBK"/>
          <w:color w:val="000000"/>
          <w:sz w:val="28"/>
        </w:rPr>
      </w:pPr>
      <w:r>
        <w:rPr>
          <w:rFonts w:hint="eastAsia" w:eastAsia="方正仿宋_GBK"/>
          <w:color w:val="000000"/>
          <w:sz w:val="28"/>
        </w:rPr>
        <w:t>1、收入说明</w:t>
      </w:r>
    </w:p>
    <w:p>
      <w:pPr>
        <w:ind w:firstLine="560" w:firstLineChars="200"/>
        <w:rPr>
          <w:rFonts w:eastAsia="方正仿宋_GBK"/>
          <w:color w:val="000000"/>
          <w:sz w:val="28"/>
        </w:rPr>
      </w:pPr>
      <w:r>
        <w:rPr>
          <w:rFonts w:hint="eastAsia" w:eastAsia="方正仿宋_GBK"/>
          <w:color w:val="000000"/>
          <w:sz w:val="28"/>
        </w:rPr>
        <w:t>反映本单位当年全部收入。20</w:t>
      </w:r>
      <w:r>
        <w:rPr>
          <w:rFonts w:eastAsia="方正仿宋_GBK"/>
          <w:color w:val="000000"/>
          <w:sz w:val="28"/>
        </w:rPr>
        <w:t>2</w:t>
      </w:r>
      <w:r>
        <w:rPr>
          <w:rFonts w:hint="eastAsia" w:eastAsia="方正仿宋_GBK"/>
          <w:color w:val="000000"/>
          <w:sz w:val="28"/>
        </w:rPr>
        <w:t>2年预算收入87.05万元，其中：一般公共预算收入87.05万元，政府性基金预算收入0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，财政专户管理资金收入0万元，</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其他收入0万元，上年结转0万元。</w:t>
      </w:r>
    </w:p>
    <w:p>
      <w:pPr>
        <w:ind w:firstLine="640"/>
        <w:rPr>
          <w:rFonts w:eastAsia="方正仿宋_GBK"/>
          <w:color w:val="000000"/>
          <w:sz w:val="28"/>
        </w:rPr>
      </w:pPr>
      <w:r>
        <w:rPr>
          <w:rFonts w:hint="eastAsia" w:eastAsia="方正仿宋_GBK"/>
          <w:color w:val="000000"/>
          <w:sz w:val="28"/>
        </w:rPr>
        <w:t>2、支出说明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收支预算总表支出栏、基本支出表、项目支出表按经济分类和支出功能分类科目编制，反映霸州市胜芳镇南楼小学20</w:t>
      </w:r>
      <w:r>
        <w:rPr>
          <w:rFonts w:eastAsia="方正仿宋_GBK"/>
          <w:color w:val="000000"/>
          <w:sz w:val="28"/>
        </w:rPr>
        <w:t>2</w:t>
      </w:r>
      <w:r>
        <w:rPr>
          <w:rFonts w:hint="eastAsia" w:eastAsia="方正仿宋_GBK"/>
          <w:color w:val="000000"/>
          <w:sz w:val="28"/>
        </w:rPr>
        <w:t>2年度单位预算中支出预算的总体情况。20</w:t>
      </w:r>
      <w:r>
        <w:rPr>
          <w:rFonts w:eastAsia="方正仿宋_GBK"/>
          <w:color w:val="000000"/>
          <w:sz w:val="28"/>
        </w:rPr>
        <w:t>2</w:t>
      </w:r>
      <w:r>
        <w:rPr>
          <w:rFonts w:hint="eastAsia" w:eastAsia="方正仿宋_GBK"/>
          <w:color w:val="000000"/>
          <w:sz w:val="28"/>
        </w:rPr>
        <w:t>2年本单位支出预算87.05万元，其中：基本支出79.70万元，包括：人员经费78.54万元和日常公用经费1.16万元；项目支出7.35万元，主要为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w:t>
      </w:r>
      <w:r>
        <w:rPr>
          <w:rFonts w:eastAsia="方正仿宋_GBK"/>
          <w:color w:val="000000"/>
          <w:sz w:val="28"/>
        </w:rPr>
        <w:t>关于提前下达2022年城乡义务教育中央补助经费预算(直达资金)的通知(公用经费)(冀财教[2021]130号 )</w:t>
      </w:r>
      <w:r>
        <w:rPr>
          <w:rFonts w:hint="eastAsia" w:eastAsia="方正仿宋_GBK"/>
          <w:color w:val="000000"/>
          <w:sz w:val="28"/>
        </w:rPr>
        <w:t>。</w:t>
      </w:r>
    </w:p>
    <w:p>
      <w:pPr>
        <w:ind w:firstLine="64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2年预算收支安排87.05万元，较2021预算增加6.34万元，其中：基本支出减少1.01万元，主要为减少日常公用经费支出；项目支出增加7.35万元，主要为增加日常公用经费项目支出。</w:t>
      </w:r>
    </w:p>
    <w:p>
      <w:pPr>
        <w:ind w:firstLine="640"/>
        <w:rPr>
          <w:rFonts w:ascii="黑体" w:hAnsi="黑体" w:eastAsia="黑体" w:cs="黑体"/>
          <w:color w:val="000000"/>
          <w:sz w:val="32"/>
        </w:rPr>
      </w:pPr>
      <w:r>
        <w:rPr>
          <w:rFonts w:ascii="黑体" w:hAnsi="黑体" w:eastAsia="黑体" w:cs="黑体"/>
          <w:color w:val="000000"/>
          <w:sz w:val="32"/>
        </w:rPr>
        <w:t>机关运行经费安排情况</w:t>
      </w:r>
    </w:p>
    <w:p>
      <w:pPr>
        <w:spacing w:line="500" w:lineRule="exact"/>
        <w:ind w:firstLine="560"/>
        <w:rPr>
          <w:rFonts w:eastAsia="方正仿宋_GBK"/>
          <w:color w:val="000000"/>
          <w:sz w:val="28"/>
        </w:rPr>
      </w:pPr>
      <w:r>
        <w:rPr>
          <w:rFonts w:hint="eastAsia" w:eastAsia="方正仿宋_GBK"/>
          <w:color w:val="000000"/>
          <w:sz w:val="28"/>
        </w:rPr>
        <w:t>2022年，我单位运行经费共计安排8.51万元，主要用于办公费、水费、取暖费、培训费、工会费、福利费、劳务费等日常运行支出。</w:t>
      </w:r>
    </w:p>
    <w:p>
      <w:pPr>
        <w:ind w:firstLine="640" w:firstLineChars="200"/>
        <w:rPr>
          <w:rFonts w:ascii="黑体" w:hAnsi="黑体" w:eastAsia="黑体" w:cs="黑体"/>
          <w:color w:val="000000"/>
          <w:sz w:val="32"/>
        </w:rPr>
      </w:pPr>
      <w:r>
        <w:rPr>
          <w:rFonts w:hint="eastAsia" w:ascii="黑体" w:hAnsi="黑体" w:eastAsia="黑体" w:cs="黑体"/>
          <w:color w:val="000000"/>
          <w:sz w:val="32"/>
        </w:rPr>
        <w:t>四、</w:t>
      </w:r>
      <w:r>
        <w:rPr>
          <w:rFonts w:ascii="黑体" w:hAnsi="黑体" w:eastAsia="黑体" w:cs="黑体"/>
          <w:color w:val="000000"/>
          <w:sz w:val="32"/>
        </w:rPr>
        <w:t>财政拨款“三公”经费预算情况及增减变化原因</w:t>
      </w:r>
    </w:p>
    <w:p>
      <w:pPr>
        <w:spacing w:line="500" w:lineRule="exact"/>
        <w:ind w:firstLine="56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w:t>
      </w:r>
      <w:r>
        <w:rPr>
          <w:rFonts w:hint="eastAsia" w:asciiTheme="minorEastAsia" w:hAnsiTheme="minorEastAsia"/>
          <w:color w:val="000000"/>
          <w:sz w:val="28"/>
        </w:rPr>
        <w:t>0</w:t>
      </w:r>
      <w:r>
        <w:rPr>
          <w:rFonts w:hint="eastAsia" w:eastAsia="方正仿宋_GBK"/>
          <w:color w:val="000000"/>
          <w:sz w:val="28"/>
        </w:rPr>
        <w:t>万元，因公出国（境）费0万元；公务用车购置及运维费0万元（其中：公务用车购置费0万元，公务用车运行维护费0万元)；公务接待费0万元，培训费</w:t>
      </w:r>
      <w:r>
        <w:rPr>
          <w:rFonts w:hint="eastAsia" w:asciiTheme="minorEastAsia" w:hAnsiTheme="minorEastAsia"/>
          <w:color w:val="000000"/>
          <w:sz w:val="28"/>
        </w:rPr>
        <w:t>0</w:t>
      </w:r>
      <w:r>
        <w:rPr>
          <w:rFonts w:hint="eastAsia" w:eastAsia="方正仿宋_GBK"/>
          <w:color w:val="000000"/>
          <w:sz w:val="28"/>
        </w:rPr>
        <w:t>万元，较2021年“三公”经费增加</w:t>
      </w:r>
      <w:r>
        <w:rPr>
          <w:rFonts w:hint="eastAsia" w:asciiTheme="minorEastAsia" w:hAnsiTheme="minorEastAsia"/>
          <w:color w:val="000000"/>
          <w:sz w:val="28"/>
        </w:rPr>
        <w:t>0</w:t>
      </w:r>
      <w:r>
        <w:rPr>
          <w:rFonts w:hint="eastAsia" w:eastAsia="方正仿宋_GBK"/>
          <w:color w:val="000000"/>
          <w:sz w:val="28"/>
        </w:rPr>
        <w:t>万元。</w:t>
      </w:r>
    </w:p>
    <w:p>
      <w:pPr>
        <w:spacing w:before="10" w:after="10"/>
        <w:ind w:firstLine="480" w:firstLineChars="150"/>
        <w:outlineLvl w:val="5"/>
        <w:rPr>
          <w:rFonts w:ascii="黑体" w:hAnsi="黑体" w:eastAsia="黑体" w:cs="黑体"/>
          <w:color w:val="000000"/>
          <w:sz w:val="32"/>
        </w:rPr>
      </w:pPr>
      <w:r>
        <w:rPr>
          <w:rFonts w:hint="eastAsia" w:ascii="黑体" w:hAnsi="黑体" w:eastAsia="黑体" w:cs="黑体"/>
          <w:color w:val="000000"/>
          <w:sz w:val="32"/>
        </w:rPr>
        <w:t>五、</w:t>
      </w:r>
      <w:r>
        <w:rPr>
          <w:rFonts w:ascii="黑体" w:hAnsi="黑体" w:eastAsia="黑体" w:cs="黑体"/>
          <w:color w:val="000000"/>
          <w:sz w:val="32"/>
        </w:rPr>
        <w:t>预算绩效信息</w:t>
      </w: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≥100人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≥61人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≥61人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eastAsia="方正仿宋_GBK"/>
          <w:color w:val="000000"/>
          <w:sz w:val="28"/>
        </w:rPr>
        <w:t>2022年，霸州市胜芳镇南楼小学安排政府采购预算0.00万元。具体内容见下表。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501599霸州市胜芳镇南楼小学</w:t>
            </w:r>
          </w:p>
        </w:tc>
        <w:tc>
          <w:tcPr>
            <w:tcW w:w="8674"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政府采购金额（当年单位预算安排资金）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5"/>
            </w:pPr>
          </w:p>
        </w:tc>
        <w:tc>
          <w:tcPr>
            <w:tcW w:w="1134" w:type="dxa"/>
            <w:vAlign w:val="center"/>
          </w:tcPr>
          <w:p>
            <w:pPr>
              <w:pStyle w:val="14"/>
            </w:pPr>
          </w:p>
        </w:tc>
        <w:tc>
          <w:tcPr>
            <w:tcW w:w="1134" w:type="dxa"/>
            <w:vAlign w:val="center"/>
          </w:tcPr>
          <w:p>
            <w:pPr>
              <w:pStyle w:val="14"/>
            </w:pPr>
          </w:p>
        </w:tc>
        <w:tc>
          <w:tcPr>
            <w:tcW w:w="709" w:type="dxa"/>
            <w:vAlign w:val="center"/>
          </w:tcPr>
          <w:p>
            <w:pPr>
              <w:pStyle w:val="13"/>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霸州市胜芳镇南楼小学上年末固定资产金额为</w:t>
      </w:r>
      <w:r>
        <w:rPr>
          <w:rFonts w:hint="eastAsia" w:eastAsia="方正仿宋_GBK"/>
          <w:color w:val="000000"/>
          <w:sz w:val="28"/>
        </w:rPr>
        <w:t>38.71</w:t>
      </w:r>
      <w:r>
        <w:rPr>
          <w:rFonts w:eastAsia="方正仿宋_GBK"/>
          <w:color w:val="000000"/>
          <w:sz w:val="28"/>
        </w:rPr>
        <w:t>万元（详见下表）。本年度拟购置固定资产总额为0.00万元，</w:t>
      </w:r>
    </w:p>
    <w:tbl>
      <w:tblPr>
        <w:tblStyle w:val="5"/>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霸州市胜芳镇南楼小学单位固定资产占用情况表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编制单位：501599霸州市胜芳镇南楼小学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38.71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90"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74</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38.71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rPr>
          <w:rFonts w:eastAsia="方正仿宋_GBK"/>
          <w:color w:val="000000"/>
          <w:sz w:val="28"/>
        </w:rPr>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rPr>
          <w:rFonts w:eastAsia="方正仿宋_GBK"/>
          <w:color w:val="000000"/>
          <w:sz w:val="28"/>
        </w:rPr>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rPr>
          <w:rFonts w:eastAsia="方正仿宋_GBK"/>
          <w:color w:val="000000"/>
          <w:sz w:val="28"/>
        </w:rPr>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widowControl/>
        <w:jc w:val="left"/>
        <w:rPr>
          <w:rFonts w:ascii="Times New Roman" w:hAnsi="Times New Roman" w:eastAsia="方正仿宋_GBK" w:cs="Times New Roman"/>
          <w:color w:val="000000"/>
          <w:kern w:val="0"/>
          <w:sz w:val="28"/>
          <w:szCs w:val="24"/>
          <w:lang w:eastAsia="uk-UA"/>
        </w:rPr>
      </w:pPr>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D3001"/>
    <w:rsid w:val="000D7E67"/>
    <w:rsid w:val="001478ED"/>
    <w:rsid w:val="001D16B5"/>
    <w:rsid w:val="002A032E"/>
    <w:rsid w:val="00357153"/>
    <w:rsid w:val="003D7AE5"/>
    <w:rsid w:val="004244AD"/>
    <w:rsid w:val="004C281C"/>
    <w:rsid w:val="005D24AD"/>
    <w:rsid w:val="007A59F2"/>
    <w:rsid w:val="0097101D"/>
    <w:rsid w:val="00991EA9"/>
    <w:rsid w:val="009A1816"/>
    <w:rsid w:val="009A7D34"/>
    <w:rsid w:val="00AF49AE"/>
    <w:rsid w:val="00B96CD3"/>
    <w:rsid w:val="00BD3B66"/>
    <w:rsid w:val="00C848A7"/>
    <w:rsid w:val="00EA42A1"/>
    <w:rsid w:val="00F00C94"/>
    <w:rsid w:val="00F3143A"/>
    <w:rsid w:val="00F36E01"/>
    <w:rsid w:val="00F950B1"/>
    <w:rsid w:val="090B5543"/>
    <w:rsid w:val="18095344"/>
    <w:rsid w:val="1A5605E9"/>
    <w:rsid w:val="20756A8B"/>
    <w:rsid w:val="2FD812ED"/>
    <w:rsid w:val="47154607"/>
    <w:rsid w:val="53332C9A"/>
    <w:rsid w:val="54E03079"/>
    <w:rsid w:val="67BA52E0"/>
    <w:rsid w:val="69400279"/>
    <w:rsid w:val="771106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1162</Words>
  <Characters>6627</Characters>
  <Lines>55</Lines>
  <Paragraphs>15</Paragraphs>
  <TotalTime>0</TotalTime>
  <ScaleCrop>false</ScaleCrop>
  <LinksUpToDate>false</LinksUpToDate>
  <CharactersWithSpaces>7774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2023-08-14T11:25:31Z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5915C21A88C34D41A1671A829474C10C</vt:lpwstr>
  </property>
</Properties>
</file>